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03802" w14:textId="77777777" w:rsidR="00C10BEC" w:rsidRDefault="00C10BEC" w:rsidP="00C10BEC">
      <w:pPr>
        <w:rPr>
          <w:sz w:val="32"/>
          <w:szCs w:val="32"/>
        </w:rPr>
      </w:pPr>
    </w:p>
    <w:p w14:paraId="6966CC87" w14:textId="77777777" w:rsidR="00C10BEC" w:rsidRPr="00B8707C" w:rsidRDefault="00C10BEC" w:rsidP="00C10BEC">
      <w:pPr>
        <w:rPr>
          <w:sz w:val="32"/>
          <w:szCs w:val="32"/>
        </w:rPr>
      </w:pPr>
      <w:r>
        <w:rPr>
          <w:sz w:val="32"/>
          <w:szCs w:val="32"/>
        </w:rPr>
        <w:t>Goal: use SIFT to gather details. Then make a thesis statement connecting our evidence to an argument about a central theme in “Phaethon”</w:t>
      </w:r>
    </w:p>
    <w:tbl>
      <w:tblPr>
        <w:tblpPr w:leftFromText="180" w:rightFromText="180" w:vertAnchor="page" w:horzAnchor="page" w:tblpX="1544" w:tblpY="4479"/>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3205"/>
        <w:gridCol w:w="4056"/>
      </w:tblGrid>
      <w:tr w:rsidR="00C10BEC" w:rsidRPr="00B8707C" w14:paraId="18D29B87" w14:textId="77777777" w:rsidTr="00A14DDA">
        <w:trPr>
          <w:trHeight w:val="130"/>
        </w:trPr>
        <w:tc>
          <w:tcPr>
            <w:tcW w:w="1042" w:type="pct"/>
          </w:tcPr>
          <w:p w14:paraId="16F08DBD" w14:textId="77777777" w:rsidR="00C10BEC" w:rsidRPr="00B8707C" w:rsidRDefault="00C10BEC" w:rsidP="00A14DDA">
            <w:pPr>
              <w:jc w:val="center"/>
              <w:rPr>
                <w:b/>
                <w:sz w:val="32"/>
                <w:szCs w:val="32"/>
              </w:rPr>
            </w:pPr>
            <w:r>
              <w:rPr>
                <w:b/>
                <w:sz w:val="32"/>
                <w:szCs w:val="32"/>
              </w:rPr>
              <w:t>S</w:t>
            </w:r>
            <w:r w:rsidRPr="00B8707C">
              <w:rPr>
                <w:b/>
                <w:sz w:val="32"/>
                <w:szCs w:val="32"/>
              </w:rPr>
              <w:t>IFT</w:t>
            </w:r>
          </w:p>
        </w:tc>
        <w:tc>
          <w:tcPr>
            <w:tcW w:w="1747" w:type="pct"/>
          </w:tcPr>
          <w:p w14:paraId="257A5B50" w14:textId="77777777" w:rsidR="00C10BEC" w:rsidRPr="00B8707C" w:rsidRDefault="00C10BEC" w:rsidP="00A14DDA">
            <w:pPr>
              <w:jc w:val="center"/>
              <w:rPr>
                <w:b/>
                <w:sz w:val="32"/>
                <w:szCs w:val="32"/>
              </w:rPr>
            </w:pPr>
            <w:r w:rsidRPr="00B8707C">
              <w:rPr>
                <w:b/>
                <w:sz w:val="32"/>
                <w:szCs w:val="32"/>
              </w:rPr>
              <w:t>Guiding Questions</w:t>
            </w:r>
          </w:p>
        </w:tc>
        <w:tc>
          <w:tcPr>
            <w:tcW w:w="2211" w:type="pct"/>
          </w:tcPr>
          <w:p w14:paraId="620DC2C2" w14:textId="77777777" w:rsidR="00C10BEC" w:rsidRDefault="00C10BEC" w:rsidP="00A14DDA">
            <w:pPr>
              <w:jc w:val="center"/>
              <w:rPr>
                <w:b/>
                <w:sz w:val="32"/>
                <w:szCs w:val="32"/>
              </w:rPr>
            </w:pPr>
          </w:p>
          <w:p w14:paraId="44F57D3E" w14:textId="77777777" w:rsidR="00C10BEC" w:rsidRPr="00B8707C" w:rsidRDefault="00C10BEC" w:rsidP="00A14DDA">
            <w:pPr>
              <w:jc w:val="center"/>
              <w:rPr>
                <w:b/>
                <w:sz w:val="32"/>
                <w:szCs w:val="32"/>
              </w:rPr>
            </w:pPr>
          </w:p>
        </w:tc>
      </w:tr>
      <w:tr w:rsidR="00C10BEC" w:rsidRPr="00B8707C" w14:paraId="0527AD6A" w14:textId="77777777" w:rsidTr="00A14DDA">
        <w:trPr>
          <w:trHeight w:val="791"/>
        </w:trPr>
        <w:tc>
          <w:tcPr>
            <w:tcW w:w="1042" w:type="pct"/>
          </w:tcPr>
          <w:p w14:paraId="62A54203" w14:textId="77777777" w:rsidR="00C10BEC" w:rsidRPr="00B8707C" w:rsidRDefault="00C10BEC" w:rsidP="00A14DDA">
            <w:pPr>
              <w:rPr>
                <w:sz w:val="32"/>
                <w:szCs w:val="32"/>
              </w:rPr>
            </w:pPr>
            <w:r w:rsidRPr="00B8707C">
              <w:rPr>
                <w:b/>
                <w:sz w:val="32"/>
                <w:szCs w:val="32"/>
              </w:rPr>
              <w:t>S</w:t>
            </w:r>
            <w:r w:rsidRPr="00B8707C">
              <w:rPr>
                <w:sz w:val="32"/>
                <w:szCs w:val="32"/>
              </w:rPr>
              <w:t>- Syntax</w:t>
            </w:r>
          </w:p>
        </w:tc>
        <w:tc>
          <w:tcPr>
            <w:tcW w:w="1747" w:type="pct"/>
          </w:tcPr>
          <w:p w14:paraId="78E2613A" w14:textId="77777777" w:rsidR="00C10BEC" w:rsidRPr="00B8707C" w:rsidRDefault="00C10BEC" w:rsidP="00A14DDA">
            <w:pPr>
              <w:rPr>
                <w:sz w:val="32"/>
                <w:szCs w:val="32"/>
              </w:rPr>
            </w:pPr>
            <w:r w:rsidRPr="00B8707C">
              <w:rPr>
                <w:rFonts w:ascii="TimesNewRoman" w:hAnsi="TimesNewRoman"/>
                <w:sz w:val="32"/>
                <w:szCs w:val="32"/>
              </w:rPr>
              <w:t>How does the author arrange words?  This includes word order, as well as the length and/or structure of a sentence or sentences.</w:t>
            </w:r>
          </w:p>
        </w:tc>
        <w:tc>
          <w:tcPr>
            <w:tcW w:w="2211" w:type="pct"/>
          </w:tcPr>
          <w:p w14:paraId="1FB8DCBE" w14:textId="77777777" w:rsidR="00C10BEC" w:rsidRDefault="00C10BEC" w:rsidP="00A14DDA">
            <w:pPr>
              <w:rPr>
                <w:sz w:val="32"/>
                <w:szCs w:val="32"/>
              </w:rPr>
            </w:pPr>
            <w:r>
              <w:rPr>
                <w:sz w:val="32"/>
                <w:szCs w:val="32"/>
              </w:rPr>
              <w:t>Short dialogue, long for description (Ovid 22 vs. 23-24)</w:t>
            </w:r>
            <w:r w:rsidRPr="00197885">
              <w:rPr>
                <w:sz w:val="32"/>
                <w:szCs w:val="32"/>
              </w:rPr>
              <w:sym w:font="Wingdings" w:char="F0E0"/>
            </w:r>
            <w:r>
              <w:rPr>
                <w:sz w:val="32"/>
                <w:szCs w:val="32"/>
              </w:rPr>
              <w:t xml:space="preserve">quick, accessible sentences, but more elaborate details of surroundings. The quick discussion could be hinting at the fiery, quick decisions by Phaethon. </w:t>
            </w:r>
          </w:p>
          <w:p w14:paraId="11F92371" w14:textId="77777777" w:rsidR="00C10BEC" w:rsidRPr="00B8707C" w:rsidRDefault="00C10BEC" w:rsidP="00A14DDA">
            <w:pPr>
              <w:rPr>
                <w:sz w:val="32"/>
                <w:szCs w:val="32"/>
              </w:rPr>
            </w:pPr>
            <w:r>
              <w:rPr>
                <w:sz w:val="32"/>
                <w:szCs w:val="32"/>
              </w:rPr>
              <w:t xml:space="preserve">Most stanzas end with nouns “father” “you” “rumour” “son” “Phaethon” (Ovid 22-23). People, things, and desires as nouns are the central focus. That is eventually Phaethon’s undoing and what he should avoid. </w:t>
            </w:r>
          </w:p>
          <w:p w14:paraId="715BDA09" w14:textId="77777777" w:rsidR="00C10BEC" w:rsidRDefault="00C10BEC" w:rsidP="00A14DDA">
            <w:pPr>
              <w:rPr>
                <w:sz w:val="32"/>
                <w:szCs w:val="32"/>
              </w:rPr>
            </w:pPr>
          </w:p>
          <w:p w14:paraId="6BC880AE" w14:textId="77777777" w:rsidR="00C10BEC" w:rsidRDefault="00C10BEC" w:rsidP="00A14DDA">
            <w:pPr>
              <w:rPr>
                <w:sz w:val="32"/>
                <w:szCs w:val="32"/>
              </w:rPr>
            </w:pPr>
          </w:p>
          <w:p w14:paraId="05FD8555" w14:textId="77777777" w:rsidR="00C10BEC" w:rsidRDefault="00C10BEC" w:rsidP="00A14DDA">
            <w:pPr>
              <w:rPr>
                <w:sz w:val="32"/>
                <w:szCs w:val="32"/>
              </w:rPr>
            </w:pPr>
          </w:p>
          <w:p w14:paraId="1DD1654B" w14:textId="77777777" w:rsidR="00C10BEC" w:rsidRPr="00B8707C" w:rsidRDefault="00C10BEC" w:rsidP="00A14DDA">
            <w:pPr>
              <w:rPr>
                <w:sz w:val="32"/>
                <w:szCs w:val="32"/>
              </w:rPr>
            </w:pPr>
          </w:p>
        </w:tc>
      </w:tr>
      <w:tr w:rsidR="00C10BEC" w:rsidRPr="00B8707C" w14:paraId="0321BE2D" w14:textId="77777777" w:rsidTr="00A14DDA">
        <w:trPr>
          <w:trHeight w:val="130"/>
        </w:trPr>
        <w:tc>
          <w:tcPr>
            <w:tcW w:w="1042" w:type="pct"/>
          </w:tcPr>
          <w:p w14:paraId="5E3473B4" w14:textId="77777777" w:rsidR="00C10BEC" w:rsidRPr="00B8707C" w:rsidRDefault="00C10BEC" w:rsidP="00A14DDA">
            <w:pPr>
              <w:rPr>
                <w:sz w:val="32"/>
                <w:szCs w:val="32"/>
              </w:rPr>
            </w:pPr>
            <w:r w:rsidRPr="00B8707C">
              <w:rPr>
                <w:b/>
                <w:sz w:val="32"/>
                <w:szCs w:val="32"/>
              </w:rPr>
              <w:lastRenderedPageBreak/>
              <w:t>I</w:t>
            </w:r>
            <w:r w:rsidRPr="00B8707C">
              <w:rPr>
                <w:sz w:val="32"/>
                <w:szCs w:val="32"/>
              </w:rPr>
              <w:t>- Imagery</w:t>
            </w:r>
          </w:p>
        </w:tc>
        <w:tc>
          <w:tcPr>
            <w:tcW w:w="1747" w:type="pct"/>
          </w:tcPr>
          <w:p w14:paraId="1D47A313" w14:textId="77777777" w:rsidR="00C10BEC" w:rsidRPr="00B8707C" w:rsidRDefault="00C10BEC" w:rsidP="00A14DDA">
            <w:pPr>
              <w:rPr>
                <w:rFonts w:ascii="TimesNewRoman" w:hAnsi="TimesNewRoman"/>
                <w:sz w:val="32"/>
                <w:szCs w:val="32"/>
              </w:rPr>
            </w:pPr>
            <w:r w:rsidRPr="00B8707C">
              <w:rPr>
                <w:rFonts w:ascii="TimesNewRoman" w:hAnsi="TimesNewRoman"/>
                <w:sz w:val="32"/>
                <w:szCs w:val="32"/>
              </w:rPr>
              <w:t>How does the author utilize details that invoke the senses – sight, taste, touch, smell, or sound?</w:t>
            </w:r>
          </w:p>
          <w:p w14:paraId="6047CBD8" w14:textId="77777777" w:rsidR="00C10BEC" w:rsidRPr="00B8707C" w:rsidRDefault="00C10BEC" w:rsidP="00A14DDA">
            <w:pPr>
              <w:rPr>
                <w:sz w:val="32"/>
                <w:szCs w:val="32"/>
              </w:rPr>
            </w:pPr>
          </w:p>
        </w:tc>
        <w:tc>
          <w:tcPr>
            <w:tcW w:w="2211" w:type="pct"/>
          </w:tcPr>
          <w:p w14:paraId="3D64034C" w14:textId="77777777" w:rsidR="00C10BEC" w:rsidRDefault="00C10BEC" w:rsidP="00A14DDA">
            <w:pPr>
              <w:rPr>
                <w:sz w:val="32"/>
                <w:szCs w:val="32"/>
              </w:rPr>
            </w:pPr>
            <w:r>
              <w:rPr>
                <w:sz w:val="32"/>
                <w:szCs w:val="32"/>
              </w:rPr>
              <w:t xml:space="preserve">Light “by the dazzling ball itself…great star which lights up the whole world” “I pray to go blind and never see the light of day” (Ovid 23). Helps the reader connect to the brightness of the sun. Could be connected to confidence as fiery brightness—too little makes one dim, but too much means one is burnt. </w:t>
            </w:r>
          </w:p>
          <w:p w14:paraId="40DF4EAE" w14:textId="77777777" w:rsidR="00C10BEC" w:rsidRPr="00B8707C" w:rsidRDefault="00C10BEC" w:rsidP="00A14DDA">
            <w:pPr>
              <w:rPr>
                <w:sz w:val="32"/>
                <w:szCs w:val="32"/>
              </w:rPr>
            </w:pPr>
            <w:r>
              <w:rPr>
                <w:sz w:val="32"/>
                <w:szCs w:val="32"/>
              </w:rPr>
              <w:t xml:space="preserve">Colors “gold” “ivory” “flame” “seas” (Ovid 23). Vivid multiple colors can show the difference of perspectives in a society or different emotions. </w:t>
            </w:r>
          </w:p>
          <w:p w14:paraId="51DA3B68" w14:textId="77777777" w:rsidR="00C10BEC" w:rsidRPr="00B8707C" w:rsidRDefault="00C10BEC" w:rsidP="00A14DDA">
            <w:pPr>
              <w:rPr>
                <w:sz w:val="32"/>
                <w:szCs w:val="32"/>
              </w:rPr>
            </w:pPr>
          </w:p>
          <w:p w14:paraId="15589A3C" w14:textId="77777777" w:rsidR="00C10BEC" w:rsidRPr="00B8707C" w:rsidRDefault="00C10BEC" w:rsidP="00A14DDA">
            <w:pPr>
              <w:rPr>
                <w:sz w:val="32"/>
                <w:szCs w:val="32"/>
              </w:rPr>
            </w:pPr>
            <w:bookmarkStart w:id="0" w:name="_GoBack"/>
            <w:bookmarkEnd w:id="0"/>
          </w:p>
        </w:tc>
      </w:tr>
      <w:tr w:rsidR="00C10BEC" w:rsidRPr="00B8707C" w14:paraId="053EB5A9" w14:textId="77777777" w:rsidTr="00A14DDA">
        <w:trPr>
          <w:trHeight w:val="130"/>
        </w:trPr>
        <w:tc>
          <w:tcPr>
            <w:tcW w:w="1042" w:type="pct"/>
          </w:tcPr>
          <w:p w14:paraId="408977AD" w14:textId="77777777" w:rsidR="00C10BEC" w:rsidRPr="00B8707C" w:rsidRDefault="00C10BEC" w:rsidP="00A14DDA">
            <w:pPr>
              <w:rPr>
                <w:sz w:val="32"/>
                <w:szCs w:val="32"/>
              </w:rPr>
            </w:pPr>
            <w:r w:rsidRPr="00B8707C">
              <w:rPr>
                <w:b/>
                <w:sz w:val="32"/>
                <w:szCs w:val="32"/>
              </w:rPr>
              <w:t>F</w:t>
            </w:r>
            <w:r w:rsidRPr="00B8707C">
              <w:rPr>
                <w:sz w:val="32"/>
                <w:szCs w:val="32"/>
              </w:rPr>
              <w:t>- Figurative Language</w:t>
            </w:r>
          </w:p>
        </w:tc>
        <w:tc>
          <w:tcPr>
            <w:tcW w:w="1747" w:type="pct"/>
          </w:tcPr>
          <w:p w14:paraId="74C0EB95" w14:textId="77777777" w:rsidR="00C10BEC" w:rsidRPr="00B8707C" w:rsidRDefault="00C10BEC" w:rsidP="00A14DDA">
            <w:pPr>
              <w:rPr>
                <w:sz w:val="32"/>
                <w:szCs w:val="32"/>
              </w:rPr>
            </w:pPr>
            <w:r w:rsidRPr="00B8707C">
              <w:rPr>
                <w:rFonts w:ascii="TimesNewRoman" w:hAnsi="TimesNewRoman"/>
                <w:sz w:val="32"/>
                <w:szCs w:val="32"/>
              </w:rPr>
              <w:t>How does the author utilize nonliteral (imaginative) language – including simile, metaphor, personification, hyperbole, understatement, etc.?</w:t>
            </w:r>
          </w:p>
        </w:tc>
        <w:tc>
          <w:tcPr>
            <w:tcW w:w="2211" w:type="pct"/>
          </w:tcPr>
          <w:p w14:paraId="281AABC4" w14:textId="77777777" w:rsidR="00C10BEC" w:rsidRDefault="00C10BEC" w:rsidP="00A14DDA">
            <w:pPr>
              <w:rPr>
                <w:sz w:val="32"/>
                <w:szCs w:val="32"/>
              </w:rPr>
            </w:pPr>
            <w:r>
              <w:rPr>
                <w:sz w:val="32"/>
                <w:szCs w:val="32"/>
              </w:rPr>
              <w:t xml:space="preserve">Repetition: “If it’s true…if the sun…if he is…” “Give me proof. Give me evidence.” (Ovid 22). This is done for emphasis to display the lack of patience by the Phaethon and also his poor decision making. </w:t>
            </w:r>
          </w:p>
          <w:p w14:paraId="223C42C4" w14:textId="77777777" w:rsidR="00C10BEC" w:rsidRDefault="00C10BEC" w:rsidP="00A14DDA">
            <w:pPr>
              <w:rPr>
                <w:sz w:val="32"/>
                <w:szCs w:val="32"/>
              </w:rPr>
            </w:pPr>
            <w:r>
              <w:rPr>
                <w:sz w:val="32"/>
                <w:szCs w:val="32"/>
              </w:rPr>
              <w:t>Simile: “The silver doors like sheet flame—“. Not sure why silver would be connected with fire…</w:t>
            </w:r>
          </w:p>
          <w:p w14:paraId="7CDA1465" w14:textId="77777777" w:rsidR="00C10BEC" w:rsidRDefault="00C10BEC" w:rsidP="00A14DDA">
            <w:pPr>
              <w:rPr>
                <w:sz w:val="32"/>
                <w:szCs w:val="32"/>
              </w:rPr>
            </w:pPr>
            <w:r>
              <w:rPr>
                <w:sz w:val="32"/>
                <w:szCs w:val="32"/>
              </w:rPr>
              <w:t>Hyperbole: “head ablaze”. Meant to show how quickly he makes decisions without real thought. Also, could be connecting him to his father as a “little ember” of the sun. Does that mean that he was destined to make this bad choice?</w:t>
            </w:r>
          </w:p>
          <w:p w14:paraId="554D5390" w14:textId="77777777" w:rsidR="00C10BEC" w:rsidRPr="00B8707C" w:rsidRDefault="00C10BEC" w:rsidP="00A14DDA">
            <w:pPr>
              <w:rPr>
                <w:sz w:val="32"/>
                <w:szCs w:val="32"/>
              </w:rPr>
            </w:pPr>
          </w:p>
          <w:p w14:paraId="128B924F" w14:textId="77777777" w:rsidR="00C10BEC" w:rsidRPr="00B8707C" w:rsidRDefault="00C10BEC" w:rsidP="00A14DDA">
            <w:pPr>
              <w:rPr>
                <w:sz w:val="32"/>
                <w:szCs w:val="32"/>
              </w:rPr>
            </w:pPr>
          </w:p>
          <w:p w14:paraId="0F788FC2" w14:textId="77777777" w:rsidR="00C10BEC" w:rsidRPr="00B8707C" w:rsidRDefault="00C10BEC" w:rsidP="00A14DDA">
            <w:pPr>
              <w:rPr>
                <w:sz w:val="32"/>
                <w:szCs w:val="32"/>
              </w:rPr>
            </w:pPr>
          </w:p>
          <w:p w14:paraId="1F2FBBA7" w14:textId="77777777" w:rsidR="00C10BEC" w:rsidRPr="00B8707C" w:rsidRDefault="00C10BEC" w:rsidP="00A14DDA">
            <w:pPr>
              <w:rPr>
                <w:sz w:val="32"/>
                <w:szCs w:val="32"/>
              </w:rPr>
            </w:pPr>
          </w:p>
        </w:tc>
      </w:tr>
      <w:tr w:rsidR="00C10BEC" w:rsidRPr="00B8707C" w14:paraId="33DE4723" w14:textId="77777777" w:rsidTr="00A14DDA">
        <w:trPr>
          <w:trHeight w:val="9122"/>
        </w:trPr>
        <w:tc>
          <w:tcPr>
            <w:tcW w:w="1042" w:type="pct"/>
          </w:tcPr>
          <w:p w14:paraId="51CBCC84" w14:textId="77777777" w:rsidR="00C10BEC" w:rsidRPr="00B8707C" w:rsidRDefault="00C10BEC" w:rsidP="00A14DDA">
            <w:pPr>
              <w:rPr>
                <w:sz w:val="32"/>
                <w:szCs w:val="32"/>
              </w:rPr>
            </w:pPr>
            <w:r w:rsidRPr="00B8707C">
              <w:rPr>
                <w:b/>
                <w:sz w:val="32"/>
                <w:szCs w:val="32"/>
              </w:rPr>
              <w:t>T</w:t>
            </w:r>
            <w:r w:rsidRPr="00B8707C">
              <w:rPr>
                <w:sz w:val="32"/>
                <w:szCs w:val="32"/>
              </w:rPr>
              <w:t>- Tone</w:t>
            </w:r>
          </w:p>
        </w:tc>
        <w:tc>
          <w:tcPr>
            <w:tcW w:w="1747" w:type="pct"/>
          </w:tcPr>
          <w:p w14:paraId="1271BFAB" w14:textId="77777777" w:rsidR="00C10BEC" w:rsidRPr="00B8707C" w:rsidRDefault="00C10BEC" w:rsidP="00A14DDA">
            <w:pPr>
              <w:rPr>
                <w:rFonts w:ascii="TimesNewRoman" w:hAnsi="TimesNewRoman"/>
                <w:sz w:val="32"/>
                <w:szCs w:val="32"/>
              </w:rPr>
            </w:pPr>
            <w:r w:rsidRPr="00B8707C">
              <w:rPr>
                <w:rFonts w:ascii="TimesNewRoman" w:hAnsi="TimesNewRoman"/>
                <w:sz w:val="32"/>
                <w:szCs w:val="32"/>
              </w:rPr>
              <w:t>What is the speaker’s attitude toward the subject as conveyed by the speaker’s stylistic choices.</w:t>
            </w:r>
          </w:p>
          <w:p w14:paraId="30D2C330" w14:textId="77777777" w:rsidR="00C10BEC" w:rsidRPr="00B8707C" w:rsidRDefault="00C10BEC" w:rsidP="00A14DDA">
            <w:pPr>
              <w:rPr>
                <w:sz w:val="32"/>
                <w:szCs w:val="32"/>
              </w:rPr>
            </w:pPr>
          </w:p>
        </w:tc>
        <w:tc>
          <w:tcPr>
            <w:tcW w:w="2211" w:type="pct"/>
          </w:tcPr>
          <w:p w14:paraId="2096C788" w14:textId="77777777" w:rsidR="00C10BEC" w:rsidRDefault="00C10BEC" w:rsidP="00A14DDA">
            <w:pPr>
              <w:rPr>
                <w:sz w:val="32"/>
                <w:szCs w:val="32"/>
              </w:rPr>
            </w:pPr>
            <w:r>
              <w:rPr>
                <w:sz w:val="32"/>
                <w:szCs w:val="32"/>
              </w:rPr>
              <w:t xml:space="preserve">Objective, third person description of surroundings “he crossed his own land, Ethiopia, then India” (Ovid 23). This allows the reader to track the story and understand what is going on. It also means that the reader can use this as contrast to the poor, unthoughtful judgment of Phaethon. </w:t>
            </w:r>
          </w:p>
          <w:p w14:paraId="53715DA2" w14:textId="77777777" w:rsidR="00C10BEC" w:rsidRPr="00B8707C" w:rsidRDefault="00C10BEC" w:rsidP="00A14DDA">
            <w:pPr>
              <w:rPr>
                <w:sz w:val="32"/>
                <w:szCs w:val="32"/>
              </w:rPr>
            </w:pPr>
            <w:r>
              <w:rPr>
                <w:sz w:val="32"/>
                <w:szCs w:val="32"/>
              </w:rPr>
              <w:t xml:space="preserve">Insight into the thoughts of the characters “defend her honour against the old rumour” (Ovid 22). The audience can understand the underpinnings of individual characters. Knowing their thoughts is necessary to build motive which impact their actions. </w:t>
            </w:r>
          </w:p>
          <w:p w14:paraId="3F21F6A7" w14:textId="77777777" w:rsidR="00C10BEC" w:rsidRPr="00B8707C" w:rsidRDefault="00C10BEC" w:rsidP="00A14DDA">
            <w:pPr>
              <w:rPr>
                <w:sz w:val="32"/>
                <w:szCs w:val="32"/>
              </w:rPr>
            </w:pPr>
          </w:p>
          <w:p w14:paraId="1500469A" w14:textId="77777777" w:rsidR="00C10BEC" w:rsidRPr="00B8707C" w:rsidRDefault="00C10BEC" w:rsidP="00A14DDA">
            <w:pPr>
              <w:rPr>
                <w:sz w:val="32"/>
                <w:szCs w:val="32"/>
              </w:rPr>
            </w:pPr>
          </w:p>
          <w:p w14:paraId="46A144EE" w14:textId="77777777" w:rsidR="00C10BEC" w:rsidRPr="00B8707C" w:rsidRDefault="00C10BEC" w:rsidP="00A14DDA">
            <w:pPr>
              <w:rPr>
                <w:sz w:val="32"/>
                <w:szCs w:val="32"/>
              </w:rPr>
            </w:pPr>
          </w:p>
        </w:tc>
      </w:tr>
    </w:tbl>
    <w:p w14:paraId="072BA1A8" w14:textId="1173157E" w:rsidR="00A7135F" w:rsidRPr="00B8707C" w:rsidRDefault="00A7135F" w:rsidP="00C10BEC">
      <w:pPr>
        <w:rPr>
          <w:sz w:val="32"/>
          <w:szCs w:val="32"/>
        </w:rPr>
      </w:pPr>
    </w:p>
    <w:sectPr w:rsidR="00A7135F" w:rsidRPr="00B8707C" w:rsidSect="001A5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0529" w14:textId="77777777" w:rsidR="000B1595" w:rsidRDefault="000B1595" w:rsidP="00C10BEC">
      <w:r>
        <w:separator/>
      </w:r>
    </w:p>
  </w:endnote>
  <w:endnote w:type="continuationSeparator" w:id="0">
    <w:p w14:paraId="590FCD4F" w14:textId="77777777" w:rsidR="000B1595" w:rsidRDefault="000B1595" w:rsidP="00C1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AD38A" w14:textId="77777777" w:rsidR="000B1595" w:rsidRDefault="000B1595" w:rsidP="00C10BEC">
      <w:r>
        <w:separator/>
      </w:r>
    </w:p>
  </w:footnote>
  <w:footnote w:type="continuationSeparator" w:id="0">
    <w:p w14:paraId="46EFB3DC" w14:textId="77777777" w:rsidR="000B1595" w:rsidRDefault="000B1595" w:rsidP="00C10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C"/>
    <w:rsid w:val="000B1595"/>
    <w:rsid w:val="00197885"/>
    <w:rsid w:val="001A5AE1"/>
    <w:rsid w:val="00414BB7"/>
    <w:rsid w:val="006F5CE9"/>
    <w:rsid w:val="00781F29"/>
    <w:rsid w:val="0095242A"/>
    <w:rsid w:val="00A157D1"/>
    <w:rsid w:val="00A7135F"/>
    <w:rsid w:val="00B8707C"/>
    <w:rsid w:val="00C10BEC"/>
    <w:rsid w:val="00D3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42E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07C"/>
    <w:rPr>
      <w:rFonts w:asciiTheme="minorHAnsi" w:eastAsiaTheme="minorEastAsia"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EC"/>
    <w:pPr>
      <w:tabs>
        <w:tab w:val="center" w:pos="4680"/>
        <w:tab w:val="right" w:pos="9360"/>
      </w:tabs>
    </w:pPr>
  </w:style>
  <w:style w:type="character" w:customStyle="1" w:styleId="HeaderChar">
    <w:name w:val="Header Char"/>
    <w:basedOn w:val="DefaultParagraphFont"/>
    <w:link w:val="Header"/>
    <w:uiPriority w:val="99"/>
    <w:rsid w:val="00C10BEC"/>
    <w:rPr>
      <w:rFonts w:asciiTheme="minorHAnsi" w:eastAsiaTheme="minorEastAsia" w:hAnsiTheme="minorHAnsi"/>
      <w:lang w:eastAsia="ja-JP"/>
    </w:rPr>
  </w:style>
  <w:style w:type="paragraph" w:styleId="Footer">
    <w:name w:val="footer"/>
    <w:basedOn w:val="Normal"/>
    <w:link w:val="FooterChar"/>
    <w:uiPriority w:val="99"/>
    <w:unhideWhenUsed/>
    <w:rsid w:val="00C10BEC"/>
    <w:pPr>
      <w:tabs>
        <w:tab w:val="center" w:pos="4680"/>
        <w:tab w:val="right" w:pos="9360"/>
      </w:tabs>
    </w:pPr>
  </w:style>
  <w:style w:type="character" w:customStyle="1" w:styleId="FooterChar">
    <w:name w:val="Footer Char"/>
    <w:basedOn w:val="DefaultParagraphFont"/>
    <w:link w:val="Footer"/>
    <w:uiPriority w:val="99"/>
    <w:rsid w:val="00C10BEC"/>
    <w:rPr>
      <w:rFonts w:asciiTheme="minorHAnsi" w:eastAsiaTheme="minorEastAsia"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395</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nk.locke16@gmail.com</dc:creator>
  <cp:keywords/>
  <dc:description/>
  <cp:lastModifiedBy>nk.locke16@gmail.com</cp:lastModifiedBy>
  <cp:revision>4</cp:revision>
  <dcterms:created xsi:type="dcterms:W3CDTF">2016-10-24T21:54:00Z</dcterms:created>
  <dcterms:modified xsi:type="dcterms:W3CDTF">2016-10-24T22:29:00Z</dcterms:modified>
</cp:coreProperties>
</file>